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7A63" w:rsidRDefault="00A543B8">
      <w:pPr>
        <w:jc w:val="center"/>
        <w:rPr>
          <w:rFonts w:ascii="Trebuchet MS" w:eastAsia="Trebuchet MS" w:hAnsi="Trebuchet MS" w:cs="Trebuchet MS"/>
          <w:b/>
          <w:sz w:val="28"/>
          <w:szCs w:val="28"/>
        </w:rPr>
      </w:pPr>
      <w:r>
        <w:rPr>
          <w:rFonts w:ascii="Trebuchet MS" w:eastAsia="Trebuchet MS" w:hAnsi="Trebuchet MS" w:cs="Trebuchet MS"/>
          <w:b/>
          <w:sz w:val="28"/>
          <w:szCs w:val="28"/>
        </w:rPr>
        <w:t>SENSORY INTEGRATION ASSESSMENT</w:t>
      </w:r>
    </w:p>
    <w:p w14:paraId="00000002" w14:textId="77777777" w:rsidR="00FA7A63" w:rsidRDefault="00FA7A63">
      <w:pPr>
        <w:jc w:val="center"/>
        <w:rPr>
          <w:rFonts w:ascii="Trebuchet MS" w:eastAsia="Trebuchet MS" w:hAnsi="Trebuchet MS" w:cs="Trebuchet MS"/>
          <w:sz w:val="28"/>
          <w:szCs w:val="28"/>
        </w:rPr>
      </w:pPr>
    </w:p>
    <w:p w14:paraId="00000004" w14:textId="77777777" w:rsidR="00FA7A63" w:rsidRDefault="00A543B8">
      <w:bookmarkStart w:id="0" w:name="_GoBack"/>
      <w:bookmarkEnd w:id="0"/>
      <w:r>
        <w:rPr>
          <w:rFonts w:ascii="Trebuchet MS" w:eastAsia="Trebuchet MS" w:hAnsi="Trebuchet MS" w:cs="Trebuchet MS"/>
          <w:sz w:val="28"/>
          <w:szCs w:val="28"/>
        </w:rPr>
        <w:t>This section will include papers about specific assessment tools, methods of measurement of specific sensory functions, or papers about typical development of sensory related skills</w:t>
      </w:r>
      <w:r>
        <w:t>.</w:t>
      </w:r>
    </w:p>
    <w:p w14:paraId="00000005" w14:textId="77777777" w:rsidR="00FA7A63" w:rsidRDefault="00A543B8">
      <w:pPr>
        <w:pStyle w:val="Heading3"/>
        <w:keepNext w:val="0"/>
        <w:keepLines w:val="0"/>
        <w:spacing w:before="280" w:after="0"/>
        <w:ind w:left="720" w:hanging="720"/>
        <w:rPr>
          <w:rFonts w:ascii="Trebuchet MS" w:eastAsia="Trebuchet MS" w:hAnsi="Trebuchet MS" w:cs="Trebuchet MS"/>
          <w:b/>
          <w:color w:val="000000"/>
          <w:highlight w:val="white"/>
        </w:rPr>
      </w:pPr>
      <w:bookmarkStart w:id="1" w:name="_vqm06jhsvl8y" w:colFirst="0" w:colLast="0"/>
      <w:bookmarkEnd w:id="1"/>
      <w:r>
        <w:rPr>
          <w:rFonts w:ascii="Trebuchet MS" w:eastAsia="Trebuchet MS" w:hAnsi="Trebuchet MS" w:cs="Trebuchet MS"/>
          <w:b/>
          <w:color w:val="000000"/>
          <w:highlight w:val="white"/>
        </w:rPr>
        <w:t xml:space="preserve">Mailloux, Z., Parham, L. D., </w:t>
      </w:r>
      <w:proofErr w:type="spellStart"/>
      <w:r>
        <w:rPr>
          <w:rFonts w:ascii="Trebuchet MS" w:eastAsia="Trebuchet MS" w:hAnsi="Trebuchet MS" w:cs="Trebuchet MS"/>
          <w:b/>
          <w:color w:val="000000"/>
          <w:highlight w:val="white"/>
        </w:rPr>
        <w:t>Roley</w:t>
      </w:r>
      <w:proofErr w:type="spellEnd"/>
      <w:r>
        <w:rPr>
          <w:rFonts w:ascii="Trebuchet MS" w:eastAsia="Trebuchet MS" w:hAnsi="Trebuchet MS" w:cs="Trebuchet MS"/>
          <w:b/>
          <w:color w:val="000000"/>
          <w:highlight w:val="white"/>
        </w:rPr>
        <w:t xml:space="preserve">, S. S., </w:t>
      </w:r>
      <w:proofErr w:type="spellStart"/>
      <w:r>
        <w:rPr>
          <w:rFonts w:ascii="Trebuchet MS" w:eastAsia="Trebuchet MS" w:hAnsi="Trebuchet MS" w:cs="Trebuchet MS"/>
          <w:b/>
          <w:color w:val="000000"/>
          <w:highlight w:val="white"/>
        </w:rPr>
        <w:t>Ruzzano</w:t>
      </w:r>
      <w:proofErr w:type="spellEnd"/>
      <w:r>
        <w:rPr>
          <w:rFonts w:ascii="Trebuchet MS" w:eastAsia="Trebuchet MS" w:hAnsi="Trebuchet MS" w:cs="Trebuchet MS"/>
          <w:b/>
          <w:color w:val="000000"/>
          <w:highlight w:val="white"/>
        </w:rPr>
        <w:t xml:space="preserve">, L., &amp; Schaaf, R. C. (2017). Introduction to the Evaluation in Ayres Sensory Integration® (EASI). </w:t>
      </w:r>
      <w:r>
        <w:rPr>
          <w:rFonts w:ascii="Trebuchet MS" w:eastAsia="Trebuchet MS" w:hAnsi="Trebuchet MS" w:cs="Trebuchet MS"/>
          <w:b/>
          <w:i/>
          <w:color w:val="000000"/>
          <w:highlight w:val="white"/>
        </w:rPr>
        <w:t>American Journal of Occupational Therapy,72</w:t>
      </w:r>
      <w:r>
        <w:rPr>
          <w:rFonts w:ascii="Trebuchet MS" w:eastAsia="Trebuchet MS" w:hAnsi="Trebuchet MS" w:cs="Trebuchet MS"/>
          <w:b/>
          <w:color w:val="000000"/>
          <w:highlight w:val="white"/>
        </w:rPr>
        <w:t>(1). doi:10.5014/ajot.2018.028241</w:t>
      </w:r>
    </w:p>
    <w:p w14:paraId="00000006" w14:textId="77777777" w:rsidR="00FA7A63" w:rsidRDefault="00A543B8">
      <w:pPr>
        <w:pStyle w:val="Heading3"/>
        <w:keepNext w:val="0"/>
        <w:keepLines w:val="0"/>
        <w:spacing w:before="280" w:after="0"/>
        <w:rPr>
          <w:rFonts w:ascii="Trebuchet MS" w:eastAsia="Trebuchet MS" w:hAnsi="Trebuchet MS" w:cs="Trebuchet MS"/>
          <w:b/>
          <w:color w:val="000000"/>
          <w:highlight w:val="white"/>
        </w:rPr>
      </w:pPr>
      <w:bookmarkStart w:id="2" w:name="_7v9z1fporta6" w:colFirst="0" w:colLast="0"/>
      <w:bookmarkEnd w:id="2"/>
      <w:r>
        <w:rPr>
          <w:rFonts w:ascii="Trebuchet MS" w:eastAsia="Trebuchet MS" w:hAnsi="Trebuchet MS" w:cs="Trebuchet MS"/>
          <w:b/>
          <w:color w:val="000000"/>
          <w:highlight w:val="white"/>
        </w:rPr>
        <w:t>Abstract</w:t>
      </w:r>
    </w:p>
    <w:p w14:paraId="00000009" w14:textId="45D1AF1E" w:rsidR="00FA7A63" w:rsidRPr="00A543B8" w:rsidRDefault="00A543B8" w:rsidP="00A543B8">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Comprehensive, reliable, and valid assessment is essential for individually tailored, appropriate, and effective intervention planning and implementation. Research, education, and practice using an Ayres Sensory Integration</w:t>
      </w:r>
      <w:r>
        <w:rPr>
          <w:rFonts w:ascii="Trebuchet MS" w:eastAsia="Trebuchet MS" w:hAnsi="Trebuchet MS" w:cs="Trebuchet MS"/>
          <w:sz w:val="28"/>
          <w:szCs w:val="28"/>
          <w:highlight w:val="white"/>
          <w:vertAlign w:val="superscript"/>
        </w:rPr>
        <w:t>®</w:t>
      </w:r>
      <w:r>
        <w:rPr>
          <w:rFonts w:ascii="Trebuchet MS" w:eastAsia="Trebuchet MS" w:hAnsi="Trebuchet MS" w:cs="Trebuchet MS"/>
          <w:sz w:val="28"/>
          <w:szCs w:val="28"/>
          <w:highlight w:val="white"/>
        </w:rPr>
        <w:t xml:space="preserve"> (ASI) approach have a long history of prioritizing comprehensive assessment. To meet the need for a set of tests that will fully evaluate the constructs of ASI with psychometrically strong, internationally appropriate, and easily accessible measurement tools, the development of the Evaluation in Ayres Sensory Integration</w:t>
      </w:r>
      <w:r>
        <w:rPr>
          <w:rFonts w:ascii="Trebuchet MS" w:eastAsia="Trebuchet MS" w:hAnsi="Trebuchet MS" w:cs="Trebuchet MS"/>
          <w:sz w:val="28"/>
          <w:szCs w:val="28"/>
          <w:highlight w:val="white"/>
          <w:vertAlign w:val="superscript"/>
        </w:rPr>
        <w:t>®</w:t>
      </w:r>
      <w:r>
        <w:rPr>
          <w:rFonts w:ascii="Trebuchet MS" w:eastAsia="Trebuchet MS" w:hAnsi="Trebuchet MS" w:cs="Trebuchet MS"/>
          <w:sz w:val="28"/>
          <w:szCs w:val="28"/>
          <w:highlight w:val="white"/>
        </w:rPr>
        <w:t>(EASI) has been initiated. This article introduces the EASI, describes the overarching plan for its development, and reports the results of promising preliminary analyses of discriminative validity data.</w:t>
      </w:r>
    </w:p>
    <w:p w14:paraId="0000000A" w14:textId="77777777" w:rsidR="00FA7A63" w:rsidRDefault="00A543B8">
      <w:pPr>
        <w:pStyle w:val="Heading3"/>
        <w:keepNext w:val="0"/>
        <w:keepLines w:val="0"/>
        <w:spacing w:before="280" w:after="0"/>
        <w:ind w:left="720" w:hanging="720"/>
        <w:rPr>
          <w:b/>
          <w:color w:val="985735"/>
          <w:sz w:val="22"/>
          <w:szCs w:val="22"/>
          <w:highlight w:val="white"/>
        </w:rPr>
      </w:pPr>
      <w:bookmarkStart w:id="3" w:name="_j5um4njy5kb1" w:colFirst="0" w:colLast="0"/>
      <w:bookmarkEnd w:id="3"/>
      <w:r>
        <w:rPr>
          <w:rFonts w:ascii="Trebuchet MS" w:eastAsia="Trebuchet MS" w:hAnsi="Trebuchet MS" w:cs="Trebuchet MS"/>
          <w:b/>
          <w:color w:val="000000"/>
          <w:highlight w:val="white"/>
        </w:rPr>
        <w:t xml:space="preserve">Dugas, C., Simard, M., </w:t>
      </w:r>
      <w:proofErr w:type="spellStart"/>
      <w:r>
        <w:rPr>
          <w:rFonts w:ascii="Trebuchet MS" w:eastAsia="Trebuchet MS" w:hAnsi="Trebuchet MS" w:cs="Trebuchet MS"/>
          <w:b/>
          <w:color w:val="000000"/>
          <w:highlight w:val="white"/>
        </w:rPr>
        <w:t>Fombonne</w:t>
      </w:r>
      <w:proofErr w:type="spellEnd"/>
      <w:r>
        <w:rPr>
          <w:rFonts w:ascii="Trebuchet MS" w:eastAsia="Trebuchet MS" w:hAnsi="Trebuchet MS" w:cs="Trebuchet MS"/>
          <w:b/>
          <w:color w:val="000000"/>
          <w:highlight w:val="white"/>
        </w:rPr>
        <w:t xml:space="preserve">, E., &amp; Couture, M. (2017). Comparison of two tools to assess sensory features in children with autism spectrum disorder. </w:t>
      </w:r>
      <w:r>
        <w:rPr>
          <w:rFonts w:ascii="Trebuchet MS" w:eastAsia="Trebuchet MS" w:hAnsi="Trebuchet MS" w:cs="Trebuchet MS"/>
          <w:b/>
          <w:i/>
          <w:color w:val="000000"/>
          <w:highlight w:val="white"/>
        </w:rPr>
        <w:t>American Journal of Occupational Therapy,72</w:t>
      </w:r>
      <w:r>
        <w:rPr>
          <w:rFonts w:ascii="Trebuchet MS" w:eastAsia="Trebuchet MS" w:hAnsi="Trebuchet MS" w:cs="Trebuchet MS"/>
          <w:b/>
          <w:color w:val="000000"/>
          <w:highlight w:val="white"/>
        </w:rPr>
        <w:t>(1). doi:10.5014/ajot.2018.024604</w:t>
      </w:r>
    </w:p>
    <w:p w14:paraId="0000000F" w14:textId="77777777" w:rsidR="00FA7A63" w:rsidRDefault="00FA7A63"/>
    <w:p w14:paraId="00000010" w14:textId="77777777" w:rsidR="00FA7A63" w:rsidRDefault="00A543B8">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Abstract</w:t>
      </w:r>
    </w:p>
    <w:p w14:paraId="00000011" w14:textId="77777777" w:rsidR="00FA7A63" w:rsidRDefault="00A543B8">
      <w:pPr>
        <w:spacing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 xml:space="preserve">Objective: </w:t>
      </w:r>
      <w:r>
        <w:rPr>
          <w:rFonts w:ascii="Trebuchet MS" w:eastAsia="Trebuchet MS" w:hAnsi="Trebuchet MS" w:cs="Trebuchet MS"/>
          <w:color w:val="000000"/>
          <w:sz w:val="28"/>
          <w:szCs w:val="28"/>
          <w:highlight w:val="white"/>
        </w:rPr>
        <w:t>This article documents the convergent validity of the Sensory Profile (SP) and the Sensory Processing Measure (SPM)-Home Form for children with autism spectrum disorder (ASD).</w:t>
      </w:r>
    </w:p>
    <w:p w14:paraId="00000012" w14:textId="77777777" w:rsidR="00FA7A63" w:rsidRDefault="00A543B8">
      <w:pPr>
        <w:pStyle w:val="Heading4"/>
        <w:keepNext w:val="0"/>
        <w:keepLines w:val="0"/>
        <w:spacing w:before="240" w:after="0" w:line="240" w:lineRule="auto"/>
        <w:ind w:right="60"/>
        <w:rPr>
          <w:rFonts w:ascii="Trebuchet MS" w:eastAsia="Trebuchet MS" w:hAnsi="Trebuchet MS" w:cs="Trebuchet MS"/>
          <w:color w:val="000000"/>
          <w:sz w:val="28"/>
          <w:szCs w:val="28"/>
          <w:highlight w:val="white"/>
        </w:rPr>
      </w:pPr>
      <w:bookmarkStart w:id="4" w:name="_ocx7sz9m1vkq" w:colFirst="0" w:colLast="0"/>
      <w:bookmarkEnd w:id="4"/>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 xml:space="preserve">Parents of 34 children with ASD between ages 5 and 8 </w:t>
      </w:r>
      <w:proofErr w:type="spellStart"/>
      <w:r>
        <w:rPr>
          <w:rFonts w:ascii="Trebuchet MS" w:eastAsia="Trebuchet MS" w:hAnsi="Trebuchet MS" w:cs="Trebuchet MS"/>
          <w:color w:val="000000"/>
          <w:sz w:val="28"/>
          <w:szCs w:val="28"/>
          <w:highlight w:val="white"/>
        </w:rPr>
        <w:t>yr</w:t>
      </w:r>
      <w:proofErr w:type="spellEnd"/>
      <w:r>
        <w:rPr>
          <w:rFonts w:ascii="Trebuchet MS" w:eastAsia="Trebuchet MS" w:hAnsi="Trebuchet MS" w:cs="Trebuchet MS"/>
          <w:color w:val="000000"/>
          <w:sz w:val="28"/>
          <w:szCs w:val="28"/>
          <w:highlight w:val="white"/>
        </w:rPr>
        <w:t xml:space="preserve"> filled out both measures. Through correlations, χ² tests, and levels of agreement between classifications, the results for the SP and the SPM-Home Form were compared.</w:t>
      </w:r>
    </w:p>
    <w:p w14:paraId="00000013" w14:textId="77777777" w:rsidR="00FA7A63" w:rsidRPr="00A543B8"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5" w:name="_wsgswscj99k2" w:colFirst="0" w:colLast="0"/>
      <w:bookmarkEnd w:id="5"/>
      <w:r w:rsidRPr="00A543B8">
        <w:rPr>
          <w:rFonts w:ascii="Trebuchet MS" w:eastAsia="Trebuchet MS" w:hAnsi="Trebuchet MS" w:cs="Trebuchet MS"/>
          <w:b/>
          <w:color w:val="000000"/>
          <w:sz w:val="28"/>
          <w:szCs w:val="28"/>
          <w:highlight w:val="white"/>
        </w:rPr>
        <w:lastRenderedPageBreak/>
        <w:t xml:space="preserve">Results: </w:t>
      </w:r>
      <w:r w:rsidRPr="00A543B8">
        <w:rPr>
          <w:rFonts w:ascii="Trebuchet MS" w:eastAsia="Arial Unicode MS" w:hAnsi="Trebuchet MS" w:cs="Arial Unicode MS"/>
          <w:color w:val="000000"/>
          <w:sz w:val="28"/>
          <w:szCs w:val="28"/>
          <w:highlight w:val="white"/>
        </w:rPr>
        <w:t>The raw scores were correlated for some sensory domains (hearing, vision, touch, and proprioception) and for social functioning. The classifications showed a significant level of agreement for most scales (</w:t>
      </w:r>
      <w:proofErr w:type="spellStart"/>
      <w:r w:rsidRPr="00A543B8">
        <w:rPr>
          <w:rFonts w:ascii="Trebuchet MS" w:eastAsia="Arial Unicode MS" w:hAnsi="Trebuchet MS" w:cs="Arial Unicode MS"/>
          <w:color w:val="000000"/>
          <w:sz w:val="28"/>
          <w:szCs w:val="28"/>
          <w:highlight w:val="white"/>
        </w:rPr>
        <w:t>κs</w:t>
      </w:r>
      <w:proofErr w:type="spellEnd"/>
      <w:r w:rsidRPr="00A543B8">
        <w:rPr>
          <w:rFonts w:ascii="Trebuchet MS" w:eastAsia="Arial Unicode MS" w:hAnsi="Trebuchet MS" w:cs="Arial Unicode MS"/>
          <w:color w:val="000000"/>
          <w:sz w:val="28"/>
          <w:szCs w:val="28"/>
          <w:highlight w:val="white"/>
        </w:rPr>
        <w:t xml:space="preserve"> = .247-.589, p ≤ .05) and for the total scores (κ = .324, p ≤ .01).</w:t>
      </w:r>
    </w:p>
    <w:p w14:paraId="00000016" w14:textId="4C1E3800" w:rsidR="00FA7A63" w:rsidRPr="00A543B8" w:rsidRDefault="00A543B8" w:rsidP="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6" w:name="_nyy7f1l9nc1e" w:colFirst="0" w:colLast="0"/>
      <w:bookmarkEnd w:id="6"/>
      <w:r>
        <w:rPr>
          <w:rFonts w:ascii="Trebuchet MS" w:eastAsia="Trebuchet MS" w:hAnsi="Trebuchet MS" w:cs="Trebuchet MS"/>
          <w:b/>
          <w:color w:val="000000"/>
          <w:sz w:val="28"/>
          <w:szCs w:val="28"/>
          <w:highlight w:val="white"/>
        </w:rPr>
        <w:t xml:space="preserve">Conclusion: </w:t>
      </w:r>
      <w:r>
        <w:rPr>
          <w:rFonts w:ascii="Trebuchet MS" w:eastAsia="Trebuchet MS" w:hAnsi="Trebuchet MS" w:cs="Trebuchet MS"/>
          <w:color w:val="000000"/>
          <w:sz w:val="28"/>
          <w:szCs w:val="28"/>
          <w:highlight w:val="white"/>
        </w:rPr>
        <w:t>This study provides further evidence of convergent validity between both tools. The SPM-Home Form identifies more children with ASD who present with sensory features for every domain measured by both tools.</w:t>
      </w:r>
    </w:p>
    <w:p w14:paraId="00000017" w14:textId="77777777" w:rsidR="00FA7A63" w:rsidRDefault="00A543B8">
      <w:pPr>
        <w:pStyle w:val="Heading3"/>
        <w:keepNext w:val="0"/>
        <w:keepLines w:val="0"/>
        <w:spacing w:before="280" w:after="0"/>
        <w:ind w:left="720" w:hanging="720"/>
        <w:rPr>
          <w:rFonts w:ascii="Trebuchet MS" w:eastAsia="Trebuchet MS" w:hAnsi="Trebuchet MS" w:cs="Trebuchet MS"/>
          <w:b/>
          <w:color w:val="000000"/>
          <w:highlight w:val="white"/>
        </w:rPr>
      </w:pPr>
      <w:bookmarkStart w:id="7" w:name="_hskh68rqcx0y" w:colFirst="0" w:colLast="0"/>
      <w:bookmarkEnd w:id="7"/>
      <w:proofErr w:type="spellStart"/>
      <w:r>
        <w:rPr>
          <w:rFonts w:ascii="Trebuchet MS" w:eastAsia="Trebuchet MS" w:hAnsi="Trebuchet MS" w:cs="Trebuchet MS"/>
          <w:b/>
          <w:color w:val="000000"/>
          <w:highlight w:val="white"/>
        </w:rPr>
        <w:t>Mazella</w:t>
      </w:r>
      <w:proofErr w:type="spellEnd"/>
      <w:r>
        <w:rPr>
          <w:rFonts w:ascii="Trebuchet MS" w:eastAsia="Trebuchet MS" w:hAnsi="Trebuchet MS" w:cs="Trebuchet MS"/>
          <w:b/>
          <w:color w:val="000000"/>
          <w:highlight w:val="white"/>
        </w:rPr>
        <w:t xml:space="preserve">, A., </w:t>
      </w:r>
      <w:proofErr w:type="spellStart"/>
      <w:r>
        <w:rPr>
          <w:rFonts w:ascii="Trebuchet MS" w:eastAsia="Trebuchet MS" w:hAnsi="Trebuchet MS" w:cs="Trebuchet MS"/>
          <w:b/>
          <w:color w:val="000000"/>
          <w:highlight w:val="white"/>
        </w:rPr>
        <w:t>Albaret</w:t>
      </w:r>
      <w:proofErr w:type="spellEnd"/>
      <w:r>
        <w:rPr>
          <w:rFonts w:ascii="Trebuchet MS" w:eastAsia="Trebuchet MS" w:hAnsi="Trebuchet MS" w:cs="Trebuchet MS"/>
          <w:b/>
          <w:color w:val="000000"/>
          <w:highlight w:val="white"/>
        </w:rPr>
        <w:t xml:space="preserve">, J., &amp; Picard, D. (2017). The development of haptic processing skills from childhood to adulthood by means of two-dimensional materials. </w:t>
      </w:r>
      <w:r>
        <w:rPr>
          <w:rFonts w:ascii="Trebuchet MS" w:eastAsia="Trebuchet MS" w:hAnsi="Trebuchet MS" w:cs="Trebuchet MS"/>
          <w:b/>
          <w:i/>
          <w:color w:val="000000"/>
          <w:highlight w:val="white"/>
        </w:rPr>
        <w:t xml:space="preserve">Canadian Journal of Experimental Psychology/Revue </w:t>
      </w:r>
      <w:proofErr w:type="spellStart"/>
      <w:r>
        <w:rPr>
          <w:rFonts w:ascii="Trebuchet MS" w:eastAsia="Trebuchet MS" w:hAnsi="Trebuchet MS" w:cs="Trebuchet MS"/>
          <w:b/>
          <w:i/>
          <w:color w:val="000000"/>
          <w:highlight w:val="white"/>
        </w:rPr>
        <w:t>Canadienne</w:t>
      </w:r>
      <w:proofErr w:type="spellEnd"/>
      <w:r>
        <w:rPr>
          <w:rFonts w:ascii="Trebuchet MS" w:eastAsia="Trebuchet MS" w:hAnsi="Trebuchet MS" w:cs="Trebuchet MS"/>
          <w:b/>
          <w:i/>
          <w:color w:val="000000"/>
          <w:highlight w:val="white"/>
        </w:rPr>
        <w:t xml:space="preserve"> De </w:t>
      </w:r>
      <w:proofErr w:type="spellStart"/>
      <w:r>
        <w:rPr>
          <w:rFonts w:ascii="Trebuchet MS" w:eastAsia="Trebuchet MS" w:hAnsi="Trebuchet MS" w:cs="Trebuchet MS"/>
          <w:b/>
          <w:i/>
          <w:color w:val="000000"/>
          <w:highlight w:val="white"/>
        </w:rPr>
        <w:t>Psychologie</w:t>
      </w:r>
      <w:proofErr w:type="spellEnd"/>
      <w:r>
        <w:rPr>
          <w:rFonts w:ascii="Trebuchet MS" w:eastAsia="Trebuchet MS" w:hAnsi="Trebuchet MS" w:cs="Trebuchet MS"/>
          <w:b/>
          <w:i/>
          <w:color w:val="000000"/>
          <w:highlight w:val="white"/>
        </w:rPr>
        <w:t xml:space="preserve"> Expérimentale,72</w:t>
      </w:r>
      <w:r>
        <w:rPr>
          <w:rFonts w:ascii="Trebuchet MS" w:eastAsia="Trebuchet MS" w:hAnsi="Trebuchet MS" w:cs="Trebuchet MS"/>
          <w:b/>
          <w:color w:val="000000"/>
          <w:highlight w:val="white"/>
        </w:rPr>
        <w:t>(1), 48-57. doi:10.1037/cep0000121.supp</w:t>
      </w:r>
    </w:p>
    <w:p w14:paraId="00000018" w14:textId="77777777" w:rsidR="00FA7A63" w:rsidRDefault="00A543B8">
      <w:pPr>
        <w:pStyle w:val="Heading3"/>
        <w:keepNext w:val="0"/>
        <w:keepLines w:val="0"/>
        <w:spacing w:before="280" w:after="0" w:line="240" w:lineRule="auto"/>
        <w:rPr>
          <w:rFonts w:ascii="Trebuchet MS" w:eastAsia="Trebuchet MS" w:hAnsi="Trebuchet MS" w:cs="Trebuchet MS"/>
          <w:b/>
          <w:color w:val="000000"/>
          <w:highlight w:val="white"/>
        </w:rPr>
      </w:pPr>
      <w:bookmarkStart w:id="8" w:name="_fbmrbqwzzfej" w:colFirst="0" w:colLast="0"/>
      <w:bookmarkEnd w:id="8"/>
      <w:r>
        <w:rPr>
          <w:rFonts w:ascii="Trebuchet MS" w:eastAsia="Trebuchet MS" w:hAnsi="Trebuchet MS" w:cs="Trebuchet MS"/>
          <w:b/>
          <w:color w:val="000000"/>
          <w:highlight w:val="white"/>
        </w:rPr>
        <w:t>Abstract</w:t>
      </w:r>
    </w:p>
    <w:p w14:paraId="00000019" w14:textId="3E573177" w:rsidR="00FA7A63" w:rsidRDefault="00A543B8">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Research into haptic perception has mostly focused on 3-dimensional objects, and more needs to be known about the processing of 2-dimensional materials (e.g., raised dots and lines and raised-line shapes, patterns and pictures). This study examines the age-related changes in various skills related to the haptic exploration of 2-dimensional raised-line and dot materials and how these skills are related to haptic picture perception. Ninety-one participants, aged 4 years to adult, were asked to perform a series of haptic tasks that entailed (a) finding dots and following lines; (b) matching elements based on texture, shape, and size; (c) matching elements based on spatial location and orientation; (d) </w:t>
      </w:r>
      <w:proofErr w:type="spellStart"/>
      <w:r>
        <w:rPr>
          <w:rFonts w:ascii="Trebuchet MS" w:eastAsia="Trebuchet MS" w:hAnsi="Trebuchet MS" w:cs="Trebuchet MS"/>
          <w:sz w:val="28"/>
          <w:szCs w:val="28"/>
          <w:highlight w:val="white"/>
        </w:rPr>
        <w:t>memorising</w:t>
      </w:r>
      <w:proofErr w:type="spellEnd"/>
      <w:r>
        <w:rPr>
          <w:rFonts w:ascii="Trebuchet MS" w:eastAsia="Trebuchet MS" w:hAnsi="Trebuchet MS" w:cs="Trebuchet MS"/>
          <w:sz w:val="28"/>
          <w:szCs w:val="28"/>
          <w:highlight w:val="white"/>
        </w:rPr>
        <w:t xml:space="preserve"> sequences of dots and shapes; and (e) identifying complete and incomplete raised-line pictures. On all the tests, the results showed that scores improved with age. Shape discrimination scores accounted for variability in comprehension scores for outline pictures. We suggested that identifying tactile pictures by touch improved with age and mainly depended on the improvement of shape discrimination skills.</w:t>
      </w:r>
    </w:p>
    <w:p w14:paraId="3211776D" w14:textId="631F583A" w:rsidR="00A543B8" w:rsidRDefault="00A543B8">
      <w:pPr>
        <w:spacing w:after="120" w:line="240" w:lineRule="auto"/>
        <w:rPr>
          <w:rFonts w:ascii="Trebuchet MS" w:eastAsia="Trebuchet MS" w:hAnsi="Trebuchet MS" w:cs="Trebuchet MS"/>
          <w:sz w:val="28"/>
          <w:szCs w:val="28"/>
          <w:highlight w:val="white"/>
        </w:rPr>
      </w:pPr>
    </w:p>
    <w:p w14:paraId="44889BC9" w14:textId="77777777" w:rsidR="00A543B8" w:rsidRDefault="00A543B8">
      <w:pPr>
        <w:spacing w:after="120" w:line="240" w:lineRule="auto"/>
        <w:rPr>
          <w:rFonts w:ascii="Trebuchet MS" w:eastAsia="Trebuchet MS" w:hAnsi="Trebuchet MS" w:cs="Trebuchet MS"/>
          <w:sz w:val="28"/>
          <w:szCs w:val="28"/>
          <w:highlight w:val="white"/>
        </w:rPr>
      </w:pPr>
    </w:p>
    <w:p w14:paraId="0000001A" w14:textId="77777777" w:rsidR="00FA7A63" w:rsidRDefault="00A543B8">
      <w:pPr>
        <w:pStyle w:val="Heading3"/>
        <w:keepNext w:val="0"/>
        <w:keepLines w:val="0"/>
        <w:spacing w:before="280" w:after="0"/>
        <w:ind w:left="720" w:hanging="720"/>
        <w:rPr>
          <w:rFonts w:ascii="Trebuchet MS" w:eastAsia="Trebuchet MS" w:hAnsi="Trebuchet MS" w:cs="Trebuchet MS"/>
          <w:b/>
          <w:color w:val="000000"/>
          <w:highlight w:val="white"/>
        </w:rPr>
      </w:pPr>
      <w:bookmarkStart w:id="9" w:name="_6hmqgoq9rbnk" w:colFirst="0" w:colLast="0"/>
      <w:bookmarkEnd w:id="9"/>
      <w:r>
        <w:rPr>
          <w:rFonts w:ascii="Trebuchet MS" w:eastAsia="Trebuchet MS" w:hAnsi="Trebuchet MS" w:cs="Trebuchet MS"/>
          <w:b/>
          <w:color w:val="000000"/>
          <w:highlight w:val="white"/>
        </w:rPr>
        <w:t xml:space="preserve">Auld, M. L., &amp; Johnston, L. M. (2016). A touchy topic: Tactile assessment among pediatric therapists. </w:t>
      </w:r>
      <w:r>
        <w:rPr>
          <w:rFonts w:ascii="Trebuchet MS" w:eastAsia="Trebuchet MS" w:hAnsi="Trebuchet MS" w:cs="Trebuchet MS"/>
          <w:b/>
          <w:i/>
          <w:color w:val="000000"/>
          <w:highlight w:val="white"/>
        </w:rPr>
        <w:t xml:space="preserve">Disability and </w:t>
      </w:r>
      <w:r>
        <w:rPr>
          <w:rFonts w:ascii="Trebuchet MS" w:eastAsia="Trebuchet MS" w:hAnsi="Trebuchet MS" w:cs="Trebuchet MS"/>
          <w:b/>
          <w:i/>
          <w:color w:val="000000"/>
          <w:highlight w:val="white"/>
        </w:rPr>
        <w:lastRenderedPageBreak/>
        <w:t>Rehabilitation,40</w:t>
      </w:r>
      <w:r>
        <w:rPr>
          <w:rFonts w:ascii="Trebuchet MS" w:eastAsia="Trebuchet MS" w:hAnsi="Trebuchet MS" w:cs="Trebuchet MS"/>
          <w:b/>
          <w:color w:val="000000"/>
          <w:highlight w:val="white"/>
        </w:rPr>
        <w:t>(3), 267-276. doi:10.1080/09638288.2016.1250170</w:t>
      </w:r>
    </w:p>
    <w:p w14:paraId="0000001B" w14:textId="77777777" w:rsidR="00FA7A63" w:rsidRDefault="00A543B8">
      <w:pPr>
        <w:pStyle w:val="Heading4"/>
        <w:keepNext w:val="0"/>
        <w:keepLines w:val="0"/>
        <w:spacing w:before="0" w:after="0" w:line="240" w:lineRule="auto"/>
        <w:ind w:right="60"/>
        <w:rPr>
          <w:rFonts w:ascii="Trebuchet MS" w:eastAsia="Trebuchet MS" w:hAnsi="Trebuchet MS" w:cs="Trebuchet MS"/>
          <w:b/>
          <w:color w:val="000000"/>
          <w:sz w:val="28"/>
          <w:szCs w:val="28"/>
          <w:highlight w:val="white"/>
        </w:rPr>
      </w:pPr>
      <w:bookmarkStart w:id="10" w:name="_y66ekyl0qvzg" w:colFirst="0" w:colLast="0"/>
      <w:bookmarkEnd w:id="10"/>
      <w:r>
        <w:rPr>
          <w:rFonts w:ascii="Trebuchet MS" w:eastAsia="Trebuchet MS" w:hAnsi="Trebuchet MS" w:cs="Trebuchet MS"/>
          <w:b/>
          <w:color w:val="000000"/>
          <w:sz w:val="28"/>
          <w:szCs w:val="28"/>
          <w:highlight w:val="white"/>
        </w:rPr>
        <w:t>Abstract</w:t>
      </w:r>
    </w:p>
    <w:p w14:paraId="0000001C"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1" w:name="_5n9h6y35woad" w:colFirst="0" w:colLast="0"/>
      <w:bookmarkEnd w:id="11"/>
      <w:r>
        <w:rPr>
          <w:rFonts w:ascii="Trebuchet MS" w:eastAsia="Trebuchet MS" w:hAnsi="Trebuchet MS" w:cs="Trebuchet MS"/>
          <w:b/>
          <w:color w:val="000000"/>
          <w:sz w:val="28"/>
          <w:szCs w:val="28"/>
          <w:highlight w:val="white"/>
        </w:rPr>
        <w:t xml:space="preserve">Purpose: </w:t>
      </w:r>
      <w:r>
        <w:rPr>
          <w:rFonts w:ascii="Trebuchet MS" w:eastAsia="Trebuchet MS" w:hAnsi="Trebuchet MS" w:cs="Trebuchet MS"/>
          <w:color w:val="000000"/>
          <w:sz w:val="28"/>
          <w:szCs w:val="28"/>
          <w:highlight w:val="white"/>
        </w:rPr>
        <w:t>Tactile impairments affect over 77% of children with unilateral cerebral palsy (CP). This study aimed to examine the current practices of pediatric therapists in relation to tactile assessment and the barriers to carrying out tactile assessment in children with CP.</w:t>
      </w:r>
    </w:p>
    <w:p w14:paraId="0000001D"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2" w:name="_m4db6mef8ws8" w:colFirst="0" w:colLast="0"/>
      <w:bookmarkEnd w:id="12"/>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The study was in two parts. In part one, pediatric therapists (n = 35) completed a questionnaire detailing their current knowledge and the use of tactile assessments in children. In part two, therapists (n = 12) completed a questionnaire based on the Theoretical Domains Framework examining the barriers and facilitators to completing tactile assessments in clinical practice.</w:t>
      </w:r>
    </w:p>
    <w:p w14:paraId="0000001E"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3" w:name="_7fwtciyk19m7" w:colFirst="0" w:colLast="0"/>
      <w:bookmarkEnd w:id="13"/>
      <w:r>
        <w:rPr>
          <w:rFonts w:ascii="Trebuchet MS" w:eastAsia="Trebuchet MS" w:hAnsi="Trebuchet MS" w:cs="Trebuchet MS"/>
          <w:b/>
          <w:color w:val="000000"/>
          <w:sz w:val="28"/>
          <w:szCs w:val="28"/>
          <w:highlight w:val="white"/>
        </w:rPr>
        <w:t xml:space="preserve">Results: </w:t>
      </w:r>
      <w:r>
        <w:rPr>
          <w:rFonts w:ascii="Trebuchet MS" w:eastAsia="Trebuchet MS" w:hAnsi="Trebuchet MS" w:cs="Trebuchet MS"/>
          <w:color w:val="000000"/>
          <w:sz w:val="28"/>
          <w:szCs w:val="28"/>
          <w:highlight w:val="white"/>
        </w:rPr>
        <w:t>Most therapists (over 90%) carry out tactile assessments in the minority (less than 25%) of children with CP that they treat. Therapists reported the need for improved knowledge/skills (n = 24) and confidence (n = 19) in carrying out tactile assessments, alongside the provision of necessary equipment (n = 17). Qualitative reports also suggested that organizational assessment guidelines and templates may facilitate the implementation of tactile assessment.</w:t>
      </w:r>
    </w:p>
    <w:p w14:paraId="0000001F"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4" w:name="_tru9rjopw3y7" w:colFirst="0" w:colLast="0"/>
      <w:bookmarkEnd w:id="14"/>
      <w:proofErr w:type="spellStart"/>
      <w:r>
        <w:rPr>
          <w:rFonts w:ascii="Trebuchet MS" w:eastAsia="Trebuchet MS" w:hAnsi="Trebuchet MS" w:cs="Trebuchet MS"/>
          <w:b/>
          <w:color w:val="000000"/>
          <w:sz w:val="28"/>
          <w:szCs w:val="28"/>
          <w:highlight w:val="white"/>
        </w:rPr>
        <w:t>Conclusions</w:t>
      </w:r>
      <w:proofErr w:type="gramStart"/>
      <w:r>
        <w:rPr>
          <w:rFonts w:ascii="Trebuchet MS" w:eastAsia="Trebuchet MS" w:hAnsi="Trebuchet MS" w:cs="Trebuchet MS"/>
          <w:b/>
          <w:color w:val="000000"/>
          <w:sz w:val="28"/>
          <w:szCs w:val="28"/>
          <w:highlight w:val="white"/>
        </w:rPr>
        <w:t>:</w:t>
      </w:r>
      <w:r>
        <w:rPr>
          <w:rFonts w:ascii="Trebuchet MS" w:eastAsia="Trebuchet MS" w:hAnsi="Trebuchet MS" w:cs="Trebuchet MS"/>
          <w:color w:val="000000"/>
          <w:sz w:val="28"/>
          <w:szCs w:val="28"/>
          <w:highlight w:val="white"/>
        </w:rPr>
        <w:t>A</w:t>
      </w:r>
      <w:proofErr w:type="spellEnd"/>
      <w:proofErr w:type="gramEnd"/>
      <w:r>
        <w:rPr>
          <w:rFonts w:ascii="Trebuchet MS" w:eastAsia="Trebuchet MS" w:hAnsi="Trebuchet MS" w:cs="Trebuchet MS"/>
          <w:color w:val="000000"/>
          <w:sz w:val="28"/>
          <w:szCs w:val="28"/>
          <w:highlight w:val="white"/>
        </w:rPr>
        <w:t xml:space="preserve"> multi-faceted knowledge translation strategy to address the barriers to tactile assessment among pediatric therapists needs to be developed. Implications for rehabilitation Pediatric occupational therapists and physiotherapists may not be completing tactile assessments according to current evidence-based recommendations. Therapists identified five main barriers, including a lack of knowledge, skills, belief in their capabilities (confidence), behavioral regulation (organizational procedures), and environmental context (e.g., equipment). Therapists recommended several potential facilitators, including access to necessary equipment, procedures, record sheets, training in tactile assessments, and research supporting related interventions. Service providers are encouraged to develop multi-faceted knowledge translation strategies that address these barriers and maximize facilitators.</w:t>
      </w:r>
    </w:p>
    <w:p w14:paraId="00000020" w14:textId="77777777" w:rsidR="00FA7A63" w:rsidRDefault="00A543B8">
      <w:r>
        <w:t xml:space="preserve"> </w:t>
      </w:r>
    </w:p>
    <w:p w14:paraId="00000021" w14:textId="77777777" w:rsidR="00FA7A63" w:rsidRDefault="00A543B8">
      <w:r>
        <w:t xml:space="preserve"> </w:t>
      </w:r>
    </w:p>
    <w:p w14:paraId="00000022" w14:textId="77777777" w:rsidR="00FA7A63" w:rsidRDefault="00A543B8">
      <w:pPr>
        <w:pStyle w:val="Heading3"/>
        <w:keepNext w:val="0"/>
        <w:keepLines w:val="0"/>
        <w:spacing w:before="280" w:after="0"/>
        <w:ind w:left="720" w:hanging="720"/>
        <w:rPr>
          <w:rFonts w:ascii="Trebuchet MS" w:eastAsia="Trebuchet MS" w:hAnsi="Trebuchet MS" w:cs="Trebuchet MS"/>
          <w:b/>
          <w:color w:val="000000"/>
          <w:highlight w:val="white"/>
        </w:rPr>
      </w:pPr>
      <w:bookmarkStart w:id="15" w:name="_gnptjxpkw7re" w:colFirst="0" w:colLast="0"/>
      <w:bookmarkEnd w:id="15"/>
      <w:r>
        <w:rPr>
          <w:rFonts w:ascii="Trebuchet MS" w:eastAsia="Trebuchet MS" w:hAnsi="Trebuchet MS" w:cs="Trebuchet MS"/>
          <w:b/>
          <w:color w:val="000000"/>
          <w:highlight w:val="white"/>
        </w:rPr>
        <w:t xml:space="preserve">Ciolek, P. J., Kang, E., Honaker, J. A., Woodson, E. A., Hopkins, B. S., &amp; Anne, S. (2018). Pediatric vestibular testing: Tolerability of </w:t>
      </w:r>
      <w:r>
        <w:rPr>
          <w:rFonts w:ascii="Trebuchet MS" w:eastAsia="Trebuchet MS" w:hAnsi="Trebuchet MS" w:cs="Trebuchet MS"/>
          <w:b/>
          <w:color w:val="000000"/>
          <w:highlight w:val="white"/>
        </w:rPr>
        <w:lastRenderedPageBreak/>
        <w:t xml:space="preserve">test components in children. </w:t>
      </w:r>
      <w:r>
        <w:rPr>
          <w:rFonts w:ascii="Trebuchet MS" w:eastAsia="Trebuchet MS" w:hAnsi="Trebuchet MS" w:cs="Trebuchet MS"/>
          <w:b/>
          <w:i/>
          <w:color w:val="000000"/>
          <w:highlight w:val="white"/>
        </w:rPr>
        <w:t>International Journal of Pediatric Otorhinolaryngology,113</w:t>
      </w:r>
      <w:r>
        <w:rPr>
          <w:rFonts w:ascii="Trebuchet MS" w:eastAsia="Trebuchet MS" w:hAnsi="Trebuchet MS" w:cs="Trebuchet MS"/>
          <w:b/>
          <w:color w:val="000000"/>
          <w:highlight w:val="white"/>
        </w:rPr>
        <w:t>, 29-33. doi:10.1016/j.ijporl.2018.07.009</w:t>
      </w:r>
    </w:p>
    <w:p w14:paraId="00000023" w14:textId="77777777" w:rsidR="00FA7A63" w:rsidRDefault="00FA7A63">
      <w:pPr>
        <w:rPr>
          <w:rFonts w:ascii="Trebuchet MS" w:eastAsia="Trebuchet MS" w:hAnsi="Trebuchet MS" w:cs="Trebuchet MS"/>
          <w:b/>
          <w:sz w:val="28"/>
          <w:szCs w:val="28"/>
        </w:rPr>
      </w:pPr>
    </w:p>
    <w:p w14:paraId="00000024" w14:textId="77777777" w:rsidR="00FA7A63" w:rsidRDefault="00A543B8">
      <w:pPr>
        <w:rPr>
          <w:rFonts w:ascii="Trebuchet MS" w:eastAsia="Trebuchet MS" w:hAnsi="Trebuchet MS" w:cs="Trebuchet MS"/>
          <w:b/>
          <w:sz w:val="28"/>
          <w:szCs w:val="28"/>
        </w:rPr>
      </w:pPr>
      <w:r>
        <w:rPr>
          <w:rFonts w:ascii="Trebuchet MS" w:eastAsia="Trebuchet MS" w:hAnsi="Trebuchet MS" w:cs="Trebuchet MS"/>
          <w:b/>
          <w:sz w:val="28"/>
          <w:szCs w:val="28"/>
        </w:rPr>
        <w:t>Abstract</w:t>
      </w:r>
    </w:p>
    <w:p w14:paraId="00000025"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6" w:name="_gib2p4j8t2ua" w:colFirst="0" w:colLast="0"/>
      <w:bookmarkEnd w:id="16"/>
      <w:r>
        <w:rPr>
          <w:rFonts w:ascii="Trebuchet MS" w:eastAsia="Trebuchet MS" w:hAnsi="Trebuchet MS" w:cs="Trebuchet MS"/>
          <w:b/>
          <w:color w:val="000000"/>
          <w:sz w:val="28"/>
          <w:szCs w:val="28"/>
          <w:highlight w:val="white"/>
        </w:rPr>
        <w:t xml:space="preserve">Introduction: </w:t>
      </w:r>
      <w:r>
        <w:rPr>
          <w:rFonts w:ascii="Trebuchet MS" w:eastAsia="Trebuchet MS" w:hAnsi="Trebuchet MS" w:cs="Trebuchet MS"/>
          <w:color w:val="000000"/>
          <w:sz w:val="28"/>
          <w:szCs w:val="28"/>
          <w:highlight w:val="white"/>
        </w:rPr>
        <w:t>Objective of the study is to define rates of successful completion of components of pediatric vestibular testing (VT).</w:t>
      </w:r>
    </w:p>
    <w:p w14:paraId="00000026"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7" w:name="_3sz6ld1onytq" w:colFirst="0" w:colLast="0"/>
      <w:bookmarkEnd w:id="17"/>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Retrospective review of VT performed on patients less than 18 years of age from 2004 to 2015.</w:t>
      </w:r>
    </w:p>
    <w:p w14:paraId="00000027" w14:textId="77777777"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8" w:name="_pnmcc1fndfmr" w:colFirst="0" w:colLast="0"/>
      <w:bookmarkEnd w:id="18"/>
      <w:r>
        <w:rPr>
          <w:rFonts w:ascii="Trebuchet MS" w:eastAsia="Trebuchet MS" w:hAnsi="Trebuchet MS" w:cs="Trebuchet MS"/>
          <w:b/>
          <w:color w:val="000000"/>
          <w:sz w:val="28"/>
          <w:szCs w:val="28"/>
          <w:highlight w:val="white"/>
        </w:rPr>
        <w:t xml:space="preserve">Results: </w:t>
      </w:r>
      <w:r>
        <w:rPr>
          <w:rFonts w:ascii="Trebuchet MS" w:eastAsia="Trebuchet MS" w:hAnsi="Trebuchet MS" w:cs="Trebuchet MS"/>
          <w:color w:val="000000"/>
          <w:sz w:val="28"/>
          <w:szCs w:val="28"/>
          <w:highlight w:val="white"/>
        </w:rPr>
        <w:t xml:space="preserve">188 pediatric patients (mean age: 13.9 ± 3.56 years old, range 2-17 years) underwent testing. Thirty-five (18.6%) had abnormal test results. Pediatric patients unable to complete all aspects of VT could still complete an average of 7.9 ± 4.0 of 12 test components. The optokinetic tracking test was the most commonly omitted component of the vestibular tests. In a multivariate analysis, failure to perform </w:t>
      </w:r>
      <w:proofErr w:type="spellStart"/>
      <w:r>
        <w:rPr>
          <w:rFonts w:ascii="Trebuchet MS" w:eastAsia="Trebuchet MS" w:hAnsi="Trebuchet MS" w:cs="Trebuchet MS"/>
          <w:color w:val="000000"/>
          <w:sz w:val="28"/>
          <w:szCs w:val="28"/>
          <w:highlight w:val="white"/>
        </w:rPr>
        <w:t>Nylen</w:t>
      </w:r>
      <w:proofErr w:type="spellEnd"/>
      <w:r>
        <w:rPr>
          <w:rFonts w:ascii="Trebuchet MS" w:eastAsia="Trebuchet MS" w:hAnsi="Trebuchet MS" w:cs="Trebuchet MS"/>
          <w:color w:val="000000"/>
          <w:sz w:val="28"/>
          <w:szCs w:val="28"/>
          <w:highlight w:val="white"/>
        </w:rPr>
        <w:t>-Barany positional testing (χ</w:t>
      </w:r>
      <w:r>
        <w:rPr>
          <w:rFonts w:ascii="Trebuchet MS" w:eastAsia="Trebuchet MS" w:hAnsi="Trebuchet MS" w:cs="Trebuchet MS"/>
          <w:color w:val="000000"/>
          <w:sz w:val="28"/>
          <w:szCs w:val="28"/>
          <w:highlight w:val="white"/>
          <w:vertAlign w:val="superscript"/>
        </w:rPr>
        <w:t>2</w:t>
      </w:r>
      <w:r>
        <w:rPr>
          <w:rFonts w:ascii="Trebuchet MS" w:eastAsia="Trebuchet MS" w:hAnsi="Trebuchet MS" w:cs="Trebuchet MS"/>
          <w:color w:val="000000"/>
          <w:sz w:val="28"/>
          <w:szCs w:val="28"/>
          <w:highlight w:val="white"/>
        </w:rPr>
        <w:t xml:space="preserve"> 27.5, p &lt; 0.0001) or Dix-Hallpike (5.66, p = 0.0174) testing was associated with inability to obtain final diagnosis on VT.</w:t>
      </w:r>
    </w:p>
    <w:p w14:paraId="00000028" w14:textId="47CD4B61" w:rsidR="00FA7A63" w:rsidRDefault="00A543B8">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9" w:name="_1l1hujt7900m" w:colFirst="0" w:colLast="0"/>
      <w:bookmarkEnd w:id="19"/>
      <w:r>
        <w:rPr>
          <w:rFonts w:ascii="Trebuchet MS" w:eastAsia="Trebuchet MS" w:hAnsi="Trebuchet MS" w:cs="Trebuchet MS"/>
          <w:b/>
          <w:color w:val="000000"/>
          <w:sz w:val="28"/>
          <w:szCs w:val="28"/>
          <w:highlight w:val="white"/>
        </w:rPr>
        <w:t xml:space="preserve">Conclusions: </w:t>
      </w:r>
      <w:r>
        <w:rPr>
          <w:rFonts w:ascii="Trebuchet MS" w:eastAsia="Trebuchet MS" w:hAnsi="Trebuchet MS" w:cs="Trebuchet MS"/>
          <w:color w:val="000000"/>
          <w:sz w:val="28"/>
          <w:szCs w:val="28"/>
          <w:highlight w:val="white"/>
        </w:rPr>
        <w:t xml:space="preserve">Interpretable VT may be obtained in most children, even in those that do not tolerate the full testing protocol. Spontaneous and gaze-evoked nystagmus testing may be considered as part of initial testing protocol before attempting less well-tolerated components such as </w:t>
      </w:r>
      <w:proofErr w:type="spellStart"/>
      <w:r>
        <w:rPr>
          <w:rFonts w:ascii="Trebuchet MS" w:eastAsia="Trebuchet MS" w:hAnsi="Trebuchet MS" w:cs="Trebuchet MS"/>
          <w:color w:val="000000"/>
          <w:sz w:val="28"/>
          <w:szCs w:val="28"/>
          <w:highlight w:val="white"/>
        </w:rPr>
        <w:t>bithermal</w:t>
      </w:r>
      <w:proofErr w:type="spellEnd"/>
      <w:r>
        <w:rPr>
          <w:rFonts w:ascii="Trebuchet MS" w:eastAsia="Trebuchet MS" w:hAnsi="Trebuchet MS" w:cs="Trebuchet MS"/>
          <w:color w:val="000000"/>
          <w:sz w:val="28"/>
          <w:szCs w:val="28"/>
          <w:highlight w:val="white"/>
        </w:rPr>
        <w:t xml:space="preserve"> </w:t>
      </w:r>
      <w:proofErr w:type="spellStart"/>
      <w:r>
        <w:rPr>
          <w:rFonts w:ascii="Trebuchet MS" w:eastAsia="Trebuchet MS" w:hAnsi="Trebuchet MS" w:cs="Trebuchet MS"/>
          <w:color w:val="000000"/>
          <w:sz w:val="28"/>
          <w:szCs w:val="28"/>
          <w:highlight w:val="white"/>
        </w:rPr>
        <w:t>calorics</w:t>
      </w:r>
      <w:proofErr w:type="spellEnd"/>
      <w:r>
        <w:rPr>
          <w:rFonts w:ascii="Trebuchet MS" w:eastAsia="Trebuchet MS" w:hAnsi="Trebuchet MS" w:cs="Trebuchet MS"/>
          <w:color w:val="000000"/>
          <w:sz w:val="28"/>
          <w:szCs w:val="28"/>
          <w:highlight w:val="white"/>
        </w:rPr>
        <w:t xml:space="preserve"> or components that require VNG goggles.</w:t>
      </w:r>
    </w:p>
    <w:p w14:paraId="0000002B" w14:textId="29D1AE84" w:rsidR="00FA7A63" w:rsidRDefault="00A543B8">
      <w:r>
        <w:t xml:space="preserve"> </w:t>
      </w:r>
    </w:p>
    <w:p w14:paraId="0000002C" w14:textId="77777777" w:rsidR="00FA7A63" w:rsidRDefault="00A543B8">
      <w:pPr>
        <w:pStyle w:val="Heading3"/>
        <w:keepNext w:val="0"/>
        <w:keepLines w:val="0"/>
        <w:spacing w:before="280" w:after="0" w:line="240" w:lineRule="auto"/>
        <w:ind w:left="720" w:hanging="720"/>
        <w:rPr>
          <w:rFonts w:ascii="Trebuchet MS" w:eastAsia="Trebuchet MS" w:hAnsi="Trebuchet MS" w:cs="Trebuchet MS"/>
          <w:b/>
          <w:color w:val="000000"/>
          <w:highlight w:val="white"/>
        </w:rPr>
      </w:pPr>
      <w:bookmarkStart w:id="20" w:name="_idua6hnbu3wt" w:colFirst="0" w:colLast="0"/>
      <w:bookmarkEnd w:id="20"/>
      <w:r>
        <w:rPr>
          <w:rFonts w:ascii="Trebuchet MS" w:eastAsia="Trebuchet MS" w:hAnsi="Trebuchet MS" w:cs="Trebuchet MS"/>
          <w:b/>
          <w:color w:val="000000"/>
          <w:highlight w:val="white"/>
        </w:rPr>
        <w:t xml:space="preserve">Chang, S., &amp; Yu, N. (2018). Development and validation of the comprehensive praxis assessment for children aged 6–8. </w:t>
      </w:r>
      <w:r>
        <w:rPr>
          <w:rFonts w:ascii="Trebuchet MS" w:eastAsia="Trebuchet MS" w:hAnsi="Trebuchet MS" w:cs="Trebuchet MS"/>
          <w:b/>
          <w:i/>
          <w:color w:val="000000"/>
          <w:highlight w:val="white"/>
        </w:rPr>
        <w:t>Human Movement Science,57</w:t>
      </w:r>
      <w:r>
        <w:rPr>
          <w:rFonts w:ascii="Trebuchet MS" w:eastAsia="Trebuchet MS" w:hAnsi="Trebuchet MS" w:cs="Trebuchet MS"/>
          <w:b/>
          <w:color w:val="000000"/>
          <w:highlight w:val="white"/>
        </w:rPr>
        <w:t>, 332-341. doi:10.1016/j.humov.2017.09.011</w:t>
      </w:r>
    </w:p>
    <w:p w14:paraId="0000002D" w14:textId="77777777" w:rsidR="00FA7A63" w:rsidRDefault="00FA7A63">
      <w:pPr>
        <w:rPr>
          <w:rFonts w:ascii="Trebuchet MS" w:eastAsia="Trebuchet MS" w:hAnsi="Trebuchet MS" w:cs="Trebuchet MS"/>
          <w:b/>
          <w:sz w:val="28"/>
          <w:szCs w:val="28"/>
        </w:rPr>
      </w:pPr>
    </w:p>
    <w:p w14:paraId="0000002E" w14:textId="77777777" w:rsidR="00FA7A63" w:rsidRDefault="00A543B8">
      <w:pPr>
        <w:rPr>
          <w:rFonts w:ascii="Trebuchet MS" w:eastAsia="Trebuchet MS" w:hAnsi="Trebuchet MS" w:cs="Trebuchet MS"/>
          <w:b/>
          <w:sz w:val="28"/>
          <w:szCs w:val="28"/>
        </w:rPr>
      </w:pPr>
      <w:r>
        <w:rPr>
          <w:rFonts w:ascii="Trebuchet MS" w:eastAsia="Trebuchet MS" w:hAnsi="Trebuchet MS" w:cs="Trebuchet MS"/>
          <w:b/>
          <w:sz w:val="28"/>
          <w:szCs w:val="28"/>
        </w:rPr>
        <w:t>Abstract</w:t>
      </w:r>
    </w:p>
    <w:p w14:paraId="0000002F" w14:textId="77777777" w:rsidR="00FA7A63" w:rsidRDefault="00A543B8">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This study examined the psychometric properties of motor praxis using a large school-based sample of children (n=239). We developed and evaluated the construct validity of a motor praxis assessment using confirmatory factor analysis (CFA). A model with four latent variables was evaluated for goodness of fit. CFA established that the scale was multifactorial and supported the four-factor model (motor imagery, verbal gesture production, imitative gesture production and knowledge of object-use). The internal consistency, inter-rater reliability and </w:t>
      </w:r>
      <w:r>
        <w:rPr>
          <w:rFonts w:ascii="Trebuchet MS" w:eastAsia="Trebuchet MS" w:hAnsi="Trebuchet MS" w:cs="Trebuchet MS"/>
          <w:sz w:val="28"/>
          <w:szCs w:val="28"/>
          <w:highlight w:val="white"/>
        </w:rPr>
        <w:lastRenderedPageBreak/>
        <w:t xml:space="preserve">concurrent validity of the praxis assessment mostly demonstrated good to excellent results for the full scale and the subscales. The motor praxis demonstrated an </w:t>
      </w:r>
      <w:proofErr w:type="spellStart"/>
      <w:r>
        <w:rPr>
          <w:rFonts w:ascii="Trebuchet MS" w:eastAsia="Trebuchet MS" w:hAnsi="Trebuchet MS" w:cs="Trebuchet MS"/>
          <w:sz w:val="28"/>
          <w:szCs w:val="28"/>
          <w:highlight w:val="white"/>
        </w:rPr>
        <w:t>ontogenic</w:t>
      </w:r>
      <w:proofErr w:type="spellEnd"/>
      <w:r>
        <w:rPr>
          <w:rFonts w:ascii="Trebuchet MS" w:eastAsia="Trebuchet MS" w:hAnsi="Trebuchet MS" w:cs="Trebuchet MS"/>
          <w:sz w:val="28"/>
          <w:szCs w:val="28"/>
          <w:highlight w:val="white"/>
        </w:rPr>
        <w:t xml:space="preserve"> progression in 6-, 7- and 8-year-olds, suggesting a developmental trend during these ages, but with the exception of gestural representation on imitation. Implications for motor development and clinical evaluation are discussed herein in relation to the four instruments.</w:t>
      </w:r>
    </w:p>
    <w:p w14:paraId="00000030" w14:textId="77777777" w:rsidR="00FA7A63" w:rsidRDefault="00A543B8">
      <w:r>
        <w:t xml:space="preserve"> </w:t>
      </w:r>
    </w:p>
    <w:p w14:paraId="00000031" w14:textId="77777777" w:rsidR="00FA7A63" w:rsidRDefault="00A543B8">
      <w:r>
        <w:t xml:space="preserve"> </w:t>
      </w:r>
    </w:p>
    <w:p w14:paraId="00000032" w14:textId="77777777" w:rsidR="00FA7A63" w:rsidRDefault="00FA7A63"/>
    <w:sectPr w:rsidR="00FA7A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63"/>
    <w:rsid w:val="003D50D2"/>
    <w:rsid w:val="00A543B8"/>
    <w:rsid w:val="00F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A370"/>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3</cp:revision>
  <dcterms:created xsi:type="dcterms:W3CDTF">2019-04-08T17:28:00Z</dcterms:created>
  <dcterms:modified xsi:type="dcterms:W3CDTF">2019-04-08T19:30:00Z</dcterms:modified>
</cp:coreProperties>
</file>